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5C9F" w:rsidRPr="00005C9F" w:rsidRDefault="00005C9F" w:rsidP="00005C9F">
      <w:pPr>
        <w:rPr>
          <w:rFonts w:ascii="Times New Roman" w:eastAsia="Times New Roman" w:hAnsi="Times New Roman" w:cs="Times New Roman"/>
          <w:lang w:eastAsia="it-IT"/>
        </w:rPr>
      </w:pPr>
      <w:r w:rsidRPr="00005C9F">
        <w:rPr>
          <w:rFonts w:ascii="Titillium Web" w:eastAsia="Times New Roman" w:hAnsi="Titillium Web" w:cs="Times New Roman"/>
          <w:b/>
          <w:bCs/>
          <w:i/>
          <w:iCs/>
          <w:color w:val="1C2024"/>
          <w:bdr w:val="none" w:sz="0" w:space="0" w:color="auto" w:frame="1"/>
          <w:lang w:eastAsia="it-IT"/>
        </w:rPr>
        <w:t>Piano di PRIMO SOCCORSO</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b/>
          <w:bCs/>
          <w:i/>
          <w:iCs/>
          <w:color w:val="1C2024"/>
          <w:bdr w:val="none" w:sz="0" w:space="0" w:color="auto" w:frame="1"/>
          <w:lang w:eastAsia="it-IT"/>
        </w:rPr>
        <w:t>INTERVENTO relativo alla somministrazione di farmaci in ambiente ed orario scolastico</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 </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 xml:space="preserve">Il primo soccorso rappresenta il primo aiuto (First </w:t>
      </w:r>
      <w:proofErr w:type="spellStart"/>
      <w:r w:rsidRPr="00005C9F">
        <w:rPr>
          <w:rFonts w:ascii="Titillium Web" w:eastAsia="Times New Roman" w:hAnsi="Titillium Web" w:cs="Times New Roman"/>
          <w:color w:val="1C2024"/>
          <w:lang w:eastAsia="it-IT"/>
        </w:rPr>
        <w:t>Aid</w:t>
      </w:r>
      <w:proofErr w:type="spellEnd"/>
      <w:r w:rsidRPr="00005C9F">
        <w:rPr>
          <w:rFonts w:ascii="Titillium Web" w:eastAsia="Times New Roman" w:hAnsi="Titillium Web" w:cs="Times New Roman"/>
          <w:color w:val="1C2024"/>
          <w:lang w:eastAsia="it-IT"/>
        </w:rPr>
        <w:t>) che viene prestato alla vittima di un improvviso evento dannoso per la salute, quale un malore e/o un trauma in attesa dell’intervento di soccorso garantito istituzionalmente, su tutto il territorio nazionale, dal Servizio di Emergenza Territoriale 118 (SET 118). Ha un potenziale valore salvavita e di salvaguardia della salute e dell’integrità fisica: i suoi obiettivi sono preservare la vita, alleviare la sofferenza, prevenire nuove malattie o lesioni, favorire la guarigione.</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L’addetto al primo soccorso non ha come compito principale il trattamento medico o terapeutico dell’infortunato, che, quando possibile, dovrà sempre essere demandato a personale medico o infermieristico specializzato, ma ha l’importantissimo compito della prima gestione dell’infortunio, che comporta quindi un’attenta valutazione di quanto è accaduto, per potere, se necessario, organizzare l’arrivo tempestivo dei mezzi di soccorso esterni, occupandosi contemporaneamente della protezione dell’infortunato e della gestione delle emergenze (trattamento delle lesioni urgenti comportanti compromissione delle funzioni vitali, primo trattamento di lesioni che se non trattate con immediatezza potrebbero comportare pericolo di vita ).</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Per quanto riguarda la </w:t>
      </w:r>
      <w:r w:rsidRPr="00005C9F">
        <w:rPr>
          <w:rFonts w:ascii="Titillium Web" w:eastAsia="Times New Roman" w:hAnsi="Titillium Web" w:cs="Times New Roman"/>
          <w:b/>
          <w:bCs/>
          <w:color w:val="1C2024"/>
          <w:bdr w:val="none" w:sz="0" w:space="0" w:color="auto" w:frame="1"/>
          <w:lang w:eastAsia="it-IT"/>
        </w:rPr>
        <w:t>somministrazione di farmaci</w:t>
      </w:r>
      <w:r w:rsidRPr="00005C9F">
        <w:rPr>
          <w:rFonts w:ascii="Titillium Web" w:eastAsia="Times New Roman" w:hAnsi="Titillium Web" w:cs="Times New Roman"/>
          <w:color w:val="1C2024"/>
          <w:lang w:eastAsia="it-IT"/>
        </w:rPr>
        <w:t> in ambiente ed orario scolastico agli studenti che ne abbiano fatta specifica richiesta, viene stabilita la seguente procedura:</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Il </w:t>
      </w:r>
      <w:r w:rsidRPr="00005C9F">
        <w:rPr>
          <w:rFonts w:ascii="Titillium Web" w:eastAsia="Times New Roman" w:hAnsi="Titillium Web" w:cs="Times New Roman"/>
          <w:b/>
          <w:bCs/>
          <w:color w:val="1C2024"/>
          <w:bdr w:val="none" w:sz="0" w:space="0" w:color="auto" w:frame="1"/>
          <w:lang w:eastAsia="it-IT"/>
        </w:rPr>
        <w:t>docente in orario nella classe</w:t>
      </w:r>
      <w:r w:rsidRPr="00005C9F">
        <w:rPr>
          <w:rFonts w:ascii="Titillium Web" w:eastAsia="Times New Roman" w:hAnsi="Titillium Web" w:cs="Times New Roman"/>
          <w:color w:val="1C2024"/>
          <w:lang w:eastAsia="it-IT"/>
        </w:rPr>
        <w:t>, non appena abbia la percezione dell’insorgere del problema:</w:t>
      </w:r>
    </w:p>
    <w:p w:rsidR="00005C9F" w:rsidRPr="00005C9F" w:rsidRDefault="00005C9F" w:rsidP="00005C9F">
      <w:pPr>
        <w:numPr>
          <w:ilvl w:val="0"/>
          <w:numId w:val="1"/>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allerta il collaboratore scolastico della postazione più vicina</w:t>
      </w:r>
    </w:p>
    <w:p w:rsidR="00005C9F" w:rsidRPr="00005C9F" w:rsidRDefault="00005C9F" w:rsidP="00005C9F">
      <w:pPr>
        <w:numPr>
          <w:ilvl w:val="0"/>
          <w:numId w:val="1"/>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chiede l’assistenza di colleghi o collaboratori scolastici nelle vicinanze per assistere il resto del gruppo classe e creare gli spazi per un soccorso efficace</w:t>
      </w:r>
    </w:p>
    <w:p w:rsidR="00005C9F" w:rsidRPr="00005C9F" w:rsidRDefault="00005C9F" w:rsidP="00005C9F">
      <w:pPr>
        <w:numPr>
          <w:ilvl w:val="0"/>
          <w:numId w:val="1"/>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ha cura che un membro del personale scolastico si rechi nell’infermeria del Liceo per recuperare il farmaco salvavita indicato nel PIP dello studente che ha manifestato il problema</w:t>
      </w:r>
    </w:p>
    <w:p w:rsidR="00005C9F" w:rsidRPr="00005C9F" w:rsidRDefault="00005C9F" w:rsidP="00005C9F">
      <w:pPr>
        <w:numPr>
          <w:ilvl w:val="0"/>
          <w:numId w:val="1"/>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se il docente in orario è formato per la somministrazione farmaci in ambito scolastico e si verifichino le condizioni identificate nel PIP dello studente, procede alla somministrazione del farmaco</w:t>
      </w:r>
    </w:p>
    <w:p w:rsidR="00005C9F" w:rsidRPr="00005C9F" w:rsidRDefault="00005C9F" w:rsidP="00005C9F">
      <w:pPr>
        <w:numPr>
          <w:ilvl w:val="0"/>
          <w:numId w:val="1"/>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se il docente in orario non è in grado di somministrare il farmaco necessario, ha cura che il collaboratore scolastico nelle vicinanze, se formato riguardo alla “somministrazione di farmaci in orario ed ambiente scolastico” proceda alla somministrazione, o, in caso contrario, allerti un membro del personale scolastico formato alla somministrazione. L’elenco del personale scolastico formato è visibile nell’infermeria e nella portineria del Liceo. In questo ultimo caso il docente, durante la somministrazione, assiste il resto del gruppo classe.</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lastRenderedPageBreak/>
        <w:t>Il </w:t>
      </w:r>
      <w:r w:rsidRPr="00005C9F">
        <w:rPr>
          <w:rFonts w:ascii="Titillium Web" w:eastAsia="Times New Roman" w:hAnsi="Titillium Web" w:cs="Times New Roman"/>
          <w:b/>
          <w:bCs/>
          <w:color w:val="1C2024"/>
          <w:bdr w:val="none" w:sz="0" w:space="0" w:color="auto" w:frame="1"/>
          <w:lang w:eastAsia="it-IT"/>
        </w:rPr>
        <w:t>collaboratore scolastico</w:t>
      </w:r>
      <w:r w:rsidRPr="00005C9F">
        <w:rPr>
          <w:rFonts w:ascii="Titillium Web" w:eastAsia="Times New Roman" w:hAnsi="Titillium Web" w:cs="Times New Roman"/>
          <w:color w:val="1C2024"/>
          <w:lang w:eastAsia="it-IT"/>
        </w:rPr>
        <w:t> </w:t>
      </w:r>
      <w:r w:rsidRPr="00005C9F">
        <w:rPr>
          <w:rFonts w:ascii="Titillium Web" w:eastAsia="Times New Roman" w:hAnsi="Titillium Web" w:cs="Times New Roman"/>
          <w:b/>
          <w:bCs/>
          <w:color w:val="1C2024"/>
          <w:bdr w:val="none" w:sz="0" w:space="0" w:color="auto" w:frame="1"/>
          <w:lang w:eastAsia="it-IT"/>
        </w:rPr>
        <w:t>nella postazione più vicina</w:t>
      </w:r>
      <w:r w:rsidRPr="00005C9F">
        <w:rPr>
          <w:rFonts w:ascii="Titillium Web" w:eastAsia="Times New Roman" w:hAnsi="Titillium Web" w:cs="Times New Roman"/>
          <w:color w:val="1C2024"/>
          <w:lang w:eastAsia="it-IT"/>
        </w:rPr>
        <w:t> alla classe dove si è verificato il problema, una volta ricevuta la segnalazione dal docente in orario di servizio:</w:t>
      </w:r>
    </w:p>
    <w:p w:rsidR="00005C9F" w:rsidRPr="00005C9F" w:rsidRDefault="00005C9F" w:rsidP="00005C9F">
      <w:pPr>
        <w:numPr>
          <w:ilvl w:val="0"/>
          <w:numId w:val="2"/>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allerta il collaboratore scolastico della portineria</w:t>
      </w:r>
    </w:p>
    <w:p w:rsidR="00005C9F" w:rsidRPr="00005C9F" w:rsidRDefault="00005C9F" w:rsidP="00005C9F">
      <w:pPr>
        <w:numPr>
          <w:ilvl w:val="0"/>
          <w:numId w:val="2"/>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ha cura che quest’ultimo contatti il servizio 118 e i genitori dell’alunno/a</w:t>
      </w:r>
    </w:p>
    <w:p w:rsidR="00005C9F" w:rsidRPr="00005C9F" w:rsidRDefault="00005C9F" w:rsidP="00005C9F">
      <w:pPr>
        <w:numPr>
          <w:ilvl w:val="0"/>
          <w:numId w:val="2"/>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dietro richiesta del docente in orario, si reca nell’infermeria del Liceo per reperire il farmaco salvavita indicato nel PIP dello studente che ha manifestato il problema</w:t>
      </w:r>
    </w:p>
    <w:p w:rsidR="00005C9F" w:rsidRPr="00005C9F" w:rsidRDefault="00005C9F" w:rsidP="00005C9F">
      <w:pPr>
        <w:numPr>
          <w:ilvl w:val="0"/>
          <w:numId w:val="2"/>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se il docente in orario è formato per la somministrazione farmaci in ambito scolastico e si verifichino le condizioni identificate nel PIP dello studente, assiste il docente nella somministrazione</w:t>
      </w:r>
    </w:p>
    <w:p w:rsidR="00005C9F" w:rsidRPr="00005C9F" w:rsidRDefault="00005C9F" w:rsidP="00005C9F">
      <w:pPr>
        <w:numPr>
          <w:ilvl w:val="0"/>
          <w:numId w:val="2"/>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se il docente in orario non è in grado di somministrare farmaci in ambito scolastico e si verifichino le condizioni identificate nel PIP dello studente, può procedere alla somministrazione del farmaco indicato nel PIP</w:t>
      </w:r>
    </w:p>
    <w:p w:rsidR="00005C9F" w:rsidRPr="00005C9F" w:rsidRDefault="00005C9F" w:rsidP="00005C9F">
      <w:pPr>
        <w:numPr>
          <w:ilvl w:val="0"/>
          <w:numId w:val="2"/>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se né lui stesso, né il docente in orario sono formati riguardo alla “somministrazione farmaci in orario scolastico”, allerta un membro del personale scolastico formato alla somministrazione del farmaco e quindi assiste il resto del gruppo classe. L’elenco del personale scolastico formato è visibile nell’infermeria e nella portineria del Liceo.</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Il </w:t>
      </w:r>
      <w:r w:rsidRPr="00005C9F">
        <w:rPr>
          <w:rFonts w:ascii="Titillium Web" w:eastAsia="Times New Roman" w:hAnsi="Titillium Web" w:cs="Times New Roman"/>
          <w:b/>
          <w:bCs/>
          <w:color w:val="1C2024"/>
          <w:bdr w:val="none" w:sz="0" w:space="0" w:color="auto" w:frame="1"/>
          <w:lang w:eastAsia="it-IT"/>
        </w:rPr>
        <w:t>collaboratore scolastico della portineria</w:t>
      </w:r>
      <w:r w:rsidRPr="00005C9F">
        <w:rPr>
          <w:rFonts w:ascii="Titillium Web" w:eastAsia="Times New Roman" w:hAnsi="Titillium Web" w:cs="Times New Roman"/>
          <w:color w:val="1C2024"/>
          <w:lang w:eastAsia="it-IT"/>
        </w:rPr>
        <w:t>, una volta ricevuta la segnalazione del problema dal collaboratore scolastico più vicino alla classe dove si è verificato il problema:</w:t>
      </w:r>
    </w:p>
    <w:p w:rsidR="00005C9F" w:rsidRPr="00005C9F" w:rsidRDefault="00005C9F" w:rsidP="00005C9F">
      <w:pPr>
        <w:numPr>
          <w:ilvl w:val="0"/>
          <w:numId w:val="3"/>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allerta il servizio 118 comunicando:</w:t>
      </w:r>
    </w:p>
    <w:p w:rsidR="00005C9F" w:rsidRPr="00005C9F" w:rsidRDefault="00005C9F" w:rsidP="00005C9F">
      <w:pPr>
        <w:numPr>
          <w:ilvl w:val="0"/>
          <w:numId w:val="3"/>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il luogo dell’evento</w:t>
      </w:r>
    </w:p>
    <w:p w:rsidR="00005C9F" w:rsidRPr="00005C9F" w:rsidRDefault="00005C9F" w:rsidP="00005C9F">
      <w:pPr>
        <w:numPr>
          <w:ilvl w:val="0"/>
          <w:numId w:val="3"/>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il tipo di evento e le condizioni dello studente</w:t>
      </w:r>
    </w:p>
    <w:p w:rsidR="00005C9F" w:rsidRPr="00005C9F" w:rsidRDefault="00005C9F" w:rsidP="00005C9F">
      <w:pPr>
        <w:numPr>
          <w:ilvl w:val="0"/>
          <w:numId w:val="3"/>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contatta i genitori dell’alunno/a (i numeri telefonici sono sulla scheda di intervento allegata al farmaco)</w:t>
      </w:r>
    </w:p>
    <w:p w:rsidR="00005C9F" w:rsidRPr="00005C9F" w:rsidRDefault="00005C9F" w:rsidP="00005C9F">
      <w:pPr>
        <w:numPr>
          <w:ilvl w:val="0"/>
          <w:numId w:val="3"/>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chiede l’assistenza di colleghi nelle vicinanze per creare gli spazi per un soccorso efficace e provvede, all’arrivo del personale sanitario, ad indirizzarlo celermente sul luogo nel quale si trova lo studente bisognoso di assistenza</w:t>
      </w:r>
    </w:p>
    <w:p w:rsidR="00005C9F" w:rsidRPr="00005C9F" w:rsidRDefault="00005C9F" w:rsidP="00005C9F">
      <w:pPr>
        <w:numPr>
          <w:ilvl w:val="0"/>
          <w:numId w:val="3"/>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t>se necessario, dietro richiesta del docente in orario, si reca nell’infermeria del Liceo per reperire il farmaco salvavita indicato nel PIP dello studente che ha manifestato il problema</w:t>
      </w:r>
      <w:r w:rsidRPr="00005C9F">
        <w:rPr>
          <w:rFonts w:ascii="Titillium Web" w:eastAsia="Times New Roman" w:hAnsi="Titillium Web" w:cs="Times New Roman"/>
          <w:b/>
          <w:bCs/>
          <w:i/>
          <w:iCs/>
          <w:color w:val="1C2024"/>
          <w:bdr w:val="none" w:sz="0" w:space="0" w:color="auto" w:frame="1"/>
          <w:lang w:eastAsia="it-IT"/>
        </w:rPr>
        <w:t>.</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b/>
          <w:bCs/>
          <w:i/>
          <w:iCs/>
          <w:color w:val="1C2024"/>
          <w:bdr w:val="none" w:sz="0" w:space="0" w:color="auto" w:frame="1"/>
          <w:lang w:eastAsia="it-IT"/>
        </w:rPr>
        <w:t> </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b/>
          <w:bCs/>
          <w:color w:val="1C2024"/>
          <w:bdr w:val="none" w:sz="0" w:space="0" w:color="auto" w:frame="1"/>
          <w:lang w:eastAsia="it-IT"/>
        </w:rPr>
        <w:t>Si ricorda che:</w:t>
      </w:r>
    </w:p>
    <w:p w:rsidR="00005C9F" w:rsidRPr="00005C9F" w:rsidRDefault="00005C9F" w:rsidP="00005C9F">
      <w:pPr>
        <w:numPr>
          <w:ilvl w:val="0"/>
          <w:numId w:val="4"/>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b/>
          <w:bCs/>
          <w:color w:val="1C2024"/>
          <w:bdr w:val="none" w:sz="0" w:space="0" w:color="auto" w:frame="1"/>
          <w:lang w:eastAsia="it-IT"/>
        </w:rPr>
        <w:t>la persona che somministra il farmaco deve essere in contatto telefonico DIRETTO con il 118, di cui deve seguire le indicazioni;</w:t>
      </w:r>
    </w:p>
    <w:p w:rsidR="00005C9F" w:rsidRPr="00005C9F" w:rsidRDefault="00005C9F" w:rsidP="00005C9F">
      <w:pPr>
        <w:numPr>
          <w:ilvl w:val="0"/>
          <w:numId w:val="4"/>
        </w:numPr>
        <w:spacing w:line="390" w:lineRule="atLeast"/>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b/>
          <w:bCs/>
          <w:color w:val="1C2024"/>
          <w:bdr w:val="none" w:sz="0" w:space="0" w:color="auto" w:frame="1"/>
          <w:lang w:eastAsia="it-IT"/>
        </w:rPr>
        <w:t>l’elenco del personale addetto alla somministrazione si trova in portineria, in infermeria o nei locali dove sono conservati i farmaci, nelle postazioni principali dei collaboratori scolastici.</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b/>
          <w:bCs/>
          <w:i/>
          <w:iCs/>
          <w:color w:val="1C2024"/>
          <w:bdr w:val="none" w:sz="0" w:space="0" w:color="auto" w:frame="1"/>
          <w:lang w:eastAsia="it-IT"/>
        </w:rPr>
        <w:t> </w:t>
      </w:r>
    </w:p>
    <w:p w:rsidR="00005C9F" w:rsidRPr="00005C9F" w:rsidRDefault="00005C9F" w:rsidP="00005C9F">
      <w:pPr>
        <w:shd w:val="clear" w:color="auto" w:fill="FFFFFF"/>
        <w:textAlignment w:val="baseline"/>
        <w:rPr>
          <w:rFonts w:ascii="Titillium Web" w:eastAsia="Times New Roman" w:hAnsi="Titillium Web" w:cs="Times New Roman"/>
          <w:color w:val="1C2024"/>
          <w:lang w:eastAsia="it-IT"/>
        </w:rPr>
      </w:pPr>
      <w:r w:rsidRPr="00005C9F">
        <w:rPr>
          <w:rFonts w:ascii="Titillium Web" w:eastAsia="Times New Roman" w:hAnsi="Titillium Web" w:cs="Times New Roman"/>
          <w:color w:val="1C2024"/>
          <w:lang w:eastAsia="it-IT"/>
        </w:rPr>
        <w:lastRenderedPageBreak/>
        <w:t>IL DIRIGENTE SCOLASTICO</w:t>
      </w:r>
    </w:p>
    <w:p w:rsidR="00005C9F" w:rsidRDefault="00005C9F"/>
    <w:sectPr w:rsidR="00005C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panose1 w:val="020B0604020202020204"/>
    <w:charset w:val="4D"/>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D71"/>
    <w:multiLevelType w:val="multilevel"/>
    <w:tmpl w:val="B3DA4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BC6529"/>
    <w:multiLevelType w:val="multilevel"/>
    <w:tmpl w:val="5610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A73120"/>
    <w:multiLevelType w:val="multilevel"/>
    <w:tmpl w:val="8F9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383EB7"/>
    <w:multiLevelType w:val="multilevel"/>
    <w:tmpl w:val="752A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409612">
    <w:abstractNumId w:val="3"/>
  </w:num>
  <w:num w:numId="2" w16cid:durableId="621109795">
    <w:abstractNumId w:val="1"/>
  </w:num>
  <w:num w:numId="3" w16cid:durableId="406803735">
    <w:abstractNumId w:val="2"/>
  </w:num>
  <w:num w:numId="4" w16cid:durableId="52267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9F"/>
    <w:rsid w:val="00005C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EC29475-59B1-3242-99F5-EE8E21E5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05C9F"/>
    <w:rPr>
      <w:b/>
      <w:bCs/>
    </w:rPr>
  </w:style>
  <w:style w:type="character" w:styleId="Enfasicorsivo">
    <w:name w:val="Emphasis"/>
    <w:basedOn w:val="Carpredefinitoparagrafo"/>
    <w:uiPriority w:val="20"/>
    <w:qFormat/>
    <w:rsid w:val="00005C9F"/>
    <w:rPr>
      <w:i/>
      <w:iCs/>
    </w:rPr>
  </w:style>
  <w:style w:type="paragraph" w:styleId="NormaleWeb">
    <w:name w:val="Normal (Web)"/>
    <w:basedOn w:val="Normale"/>
    <w:uiPriority w:val="99"/>
    <w:semiHidden/>
    <w:unhideWhenUsed/>
    <w:rsid w:val="00005C9F"/>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8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Peluso</dc:creator>
  <cp:keywords/>
  <dc:description/>
  <cp:lastModifiedBy>Luisa Peluso</cp:lastModifiedBy>
  <cp:revision>1</cp:revision>
  <dcterms:created xsi:type="dcterms:W3CDTF">2023-10-17T19:52:00Z</dcterms:created>
  <dcterms:modified xsi:type="dcterms:W3CDTF">2023-10-17T19:52:00Z</dcterms:modified>
</cp:coreProperties>
</file>